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58C0" w14:textId="77777777" w:rsidR="00F8481E" w:rsidRDefault="00F8481E" w:rsidP="00C770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74B09B0" w14:textId="7E345C8C" w:rsidR="00645624" w:rsidRPr="00F8481E" w:rsidRDefault="00995DE3" w:rsidP="00C770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8481E">
        <w:rPr>
          <w:rFonts w:ascii="Arial" w:hAnsi="Arial" w:cs="Arial"/>
          <w:b/>
          <w:bCs/>
          <w:sz w:val="28"/>
          <w:szCs w:val="28"/>
          <w:u w:val="single"/>
        </w:rPr>
        <w:t>HANDOUT / PROCEDURE FOR CIVIL BENCH TRIAL</w:t>
      </w:r>
    </w:p>
    <w:p w14:paraId="70C34347" w14:textId="77777777" w:rsidR="00995DE3" w:rsidRPr="00F8481E" w:rsidRDefault="00995DE3" w:rsidP="00995DE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9AAF81C" w14:textId="276AFAFE" w:rsidR="00995DE3" w:rsidRPr="00F8481E" w:rsidRDefault="00995DE3" w:rsidP="00F848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>The Judge will announce the case and may make general comments</w:t>
      </w:r>
    </w:p>
    <w:p w14:paraId="50368BBC" w14:textId="77777777" w:rsidR="00995DE3" w:rsidRPr="00F8481E" w:rsidRDefault="00995DE3" w:rsidP="00F848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C69D266" w14:textId="62E06BF2" w:rsidR="00995DE3" w:rsidRPr="00F8481E" w:rsidRDefault="00995DE3" w:rsidP="00F848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Both parties may make an opening statement.  This statement is </w:t>
      </w:r>
      <w:r w:rsidRPr="00F8481E">
        <w:rPr>
          <w:rFonts w:ascii="Times New Roman" w:hAnsi="Times New Roman" w:cs="Times New Roman"/>
          <w:sz w:val="23"/>
          <w:szCs w:val="23"/>
          <w:u w:val="single"/>
        </w:rPr>
        <w:t xml:space="preserve">not </w:t>
      </w:r>
      <w:r w:rsidRPr="00F8481E">
        <w:rPr>
          <w:rFonts w:ascii="Times New Roman" w:hAnsi="Times New Roman" w:cs="Times New Roman"/>
          <w:sz w:val="23"/>
          <w:szCs w:val="23"/>
        </w:rPr>
        <w:t xml:space="preserve">testimony.  The opening statement must be an overview of what is expected to be shown by the </w:t>
      </w:r>
      <w:r w:rsidRPr="00F8481E">
        <w:rPr>
          <w:rFonts w:ascii="Times New Roman" w:hAnsi="Times New Roman" w:cs="Times New Roman"/>
          <w:sz w:val="23"/>
          <w:szCs w:val="23"/>
          <w:u w:val="single"/>
        </w:rPr>
        <w:t>testimony</w:t>
      </w:r>
      <w:r w:rsidRPr="00F8481E">
        <w:rPr>
          <w:rFonts w:ascii="Times New Roman" w:hAnsi="Times New Roman" w:cs="Times New Roman"/>
          <w:sz w:val="23"/>
          <w:szCs w:val="23"/>
        </w:rPr>
        <w:t xml:space="preserve"> of the case.  The statement is not testimony and can be waived without any effect on your case.  </w:t>
      </w:r>
      <w:r w:rsidRPr="00F8481E">
        <w:rPr>
          <w:rFonts w:ascii="Times New Roman" w:hAnsi="Times New Roman" w:cs="Times New Roman"/>
          <w:b/>
          <w:bCs/>
          <w:sz w:val="23"/>
          <w:szCs w:val="23"/>
        </w:rPr>
        <w:t>NOTHING IN THE OPENING STATEMNET WILL BE CONSIDERED IN THE COURT’S DECISION</w:t>
      </w:r>
      <w:r w:rsidRPr="00F8481E">
        <w:rPr>
          <w:rFonts w:ascii="Times New Roman" w:hAnsi="Times New Roman" w:cs="Times New Roman"/>
          <w:sz w:val="23"/>
          <w:szCs w:val="23"/>
        </w:rPr>
        <w:t xml:space="preserve">.  Both 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and 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testify as their own witness.</w:t>
      </w:r>
    </w:p>
    <w:p w14:paraId="22632A2A" w14:textId="77777777" w:rsidR="00995DE3" w:rsidRPr="00F8481E" w:rsidRDefault="00995DE3" w:rsidP="00F8481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100D847" w14:textId="65CEE0D3" w:rsidR="00995DE3" w:rsidRPr="00F8481E" w:rsidRDefault="00995DE3" w:rsidP="00F848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call a witness to the stand.  The Judge will administer the oath.  </w:t>
      </w:r>
    </w:p>
    <w:p w14:paraId="5ABF404F" w14:textId="61CACA14" w:rsidR="00995DE3" w:rsidRPr="00F8481E" w:rsidRDefault="00995DE3" w:rsidP="00F848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question the witness.</w:t>
      </w:r>
    </w:p>
    <w:p w14:paraId="40453283" w14:textId="382A2940" w:rsidR="00995DE3" w:rsidRPr="00F8481E" w:rsidRDefault="00995DE3" w:rsidP="00F848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question the witness about the information just covered.</w:t>
      </w:r>
    </w:p>
    <w:p w14:paraId="3F6B4D6D" w14:textId="00F5BA61" w:rsidR="00995DE3" w:rsidRPr="00F8481E" w:rsidRDefault="00995DE3" w:rsidP="00F848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question the witness again. (Can be omitted).</w:t>
      </w:r>
    </w:p>
    <w:p w14:paraId="13CD6A80" w14:textId="6FEB5783" w:rsidR="00995DE3" w:rsidRPr="00F8481E" w:rsidRDefault="00995DE3" w:rsidP="00F8481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question the witness again </w:t>
      </w:r>
      <w:r w:rsidRPr="00F8481E">
        <w:rPr>
          <w:rFonts w:ascii="Times New Roman" w:hAnsi="Times New Roman" w:cs="Times New Roman"/>
          <w:b/>
          <w:bCs/>
          <w:sz w:val="23"/>
          <w:szCs w:val="23"/>
        </w:rPr>
        <w:t xml:space="preserve">IF THE </w:t>
      </w:r>
      <w:r w:rsidR="00F8481E">
        <w:rPr>
          <w:rFonts w:ascii="Times New Roman" w:hAnsi="Times New Roman" w:cs="Times New Roman"/>
          <w:b/>
          <w:bCs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b/>
          <w:bCs/>
          <w:sz w:val="23"/>
          <w:szCs w:val="23"/>
        </w:rPr>
        <w:t xml:space="preserve"> DID</w:t>
      </w:r>
      <w:r w:rsidRPr="00F8481E">
        <w:rPr>
          <w:rFonts w:ascii="Times New Roman" w:hAnsi="Times New Roman" w:cs="Times New Roman"/>
          <w:sz w:val="23"/>
          <w:szCs w:val="23"/>
        </w:rPr>
        <w:t xml:space="preserve"> under (c) above.</w:t>
      </w:r>
    </w:p>
    <w:p w14:paraId="6E84AD92" w14:textId="3E6B229E" w:rsidR="00995DE3" w:rsidRPr="00F8481E" w:rsidRDefault="00995DE3" w:rsidP="00F8481E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This procedure will be followed for each witness.  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then rest </w:t>
      </w:r>
      <w:r w:rsidR="003022F4" w:rsidRPr="00F8481E">
        <w:rPr>
          <w:rFonts w:ascii="Times New Roman" w:hAnsi="Times New Roman" w:cs="Times New Roman"/>
          <w:sz w:val="23"/>
          <w:szCs w:val="23"/>
        </w:rPr>
        <w:t xml:space="preserve">his/her/their </w:t>
      </w:r>
      <w:r w:rsidRPr="00F8481E">
        <w:rPr>
          <w:rFonts w:ascii="Times New Roman" w:hAnsi="Times New Roman" w:cs="Times New Roman"/>
          <w:sz w:val="23"/>
          <w:szCs w:val="23"/>
        </w:rPr>
        <w:t xml:space="preserve">case.  After all 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’s witnesses have testified and all evidence is submitted, the Judge may dismiss the case </w:t>
      </w:r>
      <w:r w:rsidRPr="00F8481E">
        <w:rPr>
          <w:rFonts w:ascii="Times New Roman" w:hAnsi="Times New Roman" w:cs="Times New Roman"/>
          <w:sz w:val="23"/>
          <w:szCs w:val="23"/>
          <w:u w:val="single"/>
        </w:rPr>
        <w:t>at this time</w:t>
      </w:r>
      <w:r w:rsidRPr="00F8481E">
        <w:rPr>
          <w:rFonts w:ascii="Times New Roman" w:hAnsi="Times New Roman" w:cs="Times New Roman"/>
          <w:sz w:val="23"/>
          <w:szCs w:val="23"/>
        </w:rPr>
        <w:t xml:space="preserve">, if 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has not met the standards of proof and upon motion of 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>.</w:t>
      </w:r>
    </w:p>
    <w:p w14:paraId="51540EBD" w14:textId="77777777" w:rsidR="00995DE3" w:rsidRPr="00F8481E" w:rsidRDefault="00995DE3" w:rsidP="00F8481E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2FF224C7" w14:textId="5EC9743F" w:rsidR="00995DE3" w:rsidRPr="00F8481E" w:rsidRDefault="00995DE3" w:rsidP="00F848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 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call a witness to the stand and follow the same procedure, as listed above, with the exception that 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question his</w:t>
      </w:r>
      <w:r w:rsidR="003022F4">
        <w:rPr>
          <w:rFonts w:ascii="Times New Roman" w:hAnsi="Times New Roman" w:cs="Times New Roman"/>
          <w:sz w:val="23"/>
          <w:szCs w:val="23"/>
        </w:rPr>
        <w:t>/her/their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witnesses first.  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question next, etc.  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then rest his/her/their case after all the Defense witnesses have testified and all the Defense evidence is submitted.</w:t>
      </w:r>
    </w:p>
    <w:p w14:paraId="723C8B4C" w14:textId="77777777" w:rsidR="00995DE3" w:rsidRPr="00F8481E" w:rsidRDefault="00995DE3" w:rsidP="00F8481E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1DD9DE14" w14:textId="39A1DD6F" w:rsidR="00995DE3" w:rsidRPr="00F8481E" w:rsidRDefault="00995DE3" w:rsidP="00F848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call additional (</w:t>
      </w:r>
      <w:r w:rsidR="00C770EB" w:rsidRPr="00F8481E">
        <w:rPr>
          <w:rFonts w:ascii="Times New Roman" w:hAnsi="Times New Roman" w:cs="Times New Roman"/>
          <w:sz w:val="23"/>
          <w:szCs w:val="23"/>
        </w:rPr>
        <w:t>rebuttal</w:t>
      </w:r>
      <w:r w:rsidRPr="00F8481E">
        <w:rPr>
          <w:rFonts w:ascii="Times New Roman" w:hAnsi="Times New Roman" w:cs="Times New Roman"/>
          <w:sz w:val="23"/>
          <w:szCs w:val="23"/>
        </w:rPr>
        <w:t>) witnesses.</w:t>
      </w:r>
    </w:p>
    <w:p w14:paraId="6C57295B" w14:textId="77777777" w:rsidR="00995DE3" w:rsidRPr="00F8481E" w:rsidRDefault="00995DE3" w:rsidP="00F8481E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650783C6" w14:textId="43572D8E" w:rsidR="00995DE3" w:rsidRPr="00F8481E" w:rsidRDefault="00995DE3" w:rsidP="00F848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Judge may question any witnesses </w:t>
      </w:r>
      <w:r w:rsidR="00C770EB" w:rsidRPr="00F8481E">
        <w:rPr>
          <w:rFonts w:ascii="Times New Roman" w:hAnsi="Times New Roman" w:cs="Times New Roman"/>
          <w:sz w:val="23"/>
          <w:szCs w:val="23"/>
        </w:rPr>
        <w:t>through</w:t>
      </w:r>
      <w:r w:rsidRPr="00F8481E">
        <w:rPr>
          <w:rFonts w:ascii="Times New Roman" w:hAnsi="Times New Roman" w:cs="Times New Roman"/>
          <w:sz w:val="23"/>
          <w:szCs w:val="23"/>
        </w:rPr>
        <w:t xml:space="preserve"> the trial.</w:t>
      </w:r>
    </w:p>
    <w:p w14:paraId="36FD9FF9" w14:textId="77777777" w:rsidR="00995DE3" w:rsidRPr="00F8481E" w:rsidRDefault="00995DE3" w:rsidP="00F8481E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7E98C78A" w14:textId="1438C5C8" w:rsidR="00C770EB" w:rsidRPr="00F8481E" w:rsidRDefault="00995DE3" w:rsidP="00F848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Physical evidence (exhibits) such as contracts, rental agreements, photos, and other papers need to be submitted during the presentation of your side of the case </w:t>
      </w:r>
      <w:r w:rsidRPr="00F8481E">
        <w:rPr>
          <w:rFonts w:ascii="Times New Roman" w:hAnsi="Times New Roman" w:cs="Times New Roman"/>
          <w:i/>
          <w:iCs/>
          <w:sz w:val="23"/>
          <w:szCs w:val="23"/>
        </w:rPr>
        <w:t xml:space="preserve">(provide copies for the </w:t>
      </w:r>
      <w:r w:rsidR="00C770EB" w:rsidRPr="00F8481E">
        <w:rPr>
          <w:rFonts w:ascii="Times New Roman" w:hAnsi="Times New Roman" w:cs="Times New Roman"/>
          <w:i/>
          <w:iCs/>
          <w:sz w:val="23"/>
          <w:szCs w:val="23"/>
        </w:rPr>
        <w:t>court</w:t>
      </w:r>
      <w:r w:rsidRPr="00F8481E">
        <w:rPr>
          <w:rFonts w:ascii="Times New Roman" w:hAnsi="Times New Roman" w:cs="Times New Roman"/>
          <w:i/>
          <w:iCs/>
          <w:sz w:val="23"/>
          <w:szCs w:val="23"/>
        </w:rPr>
        <w:t xml:space="preserve"> and give to the Judge as your exhibits</w:t>
      </w:r>
      <w:r w:rsidR="00C770EB" w:rsidRPr="00F8481E">
        <w:rPr>
          <w:rFonts w:ascii="Times New Roman" w:hAnsi="Times New Roman" w:cs="Times New Roman"/>
          <w:i/>
          <w:iCs/>
          <w:sz w:val="23"/>
          <w:szCs w:val="23"/>
        </w:rPr>
        <w:t>)</w:t>
      </w:r>
      <w:r w:rsidRPr="00F8481E">
        <w:rPr>
          <w:rFonts w:ascii="Times New Roman" w:hAnsi="Times New Roman" w:cs="Times New Roman"/>
          <w:i/>
          <w:iCs/>
          <w:sz w:val="23"/>
          <w:szCs w:val="23"/>
        </w:rPr>
        <w:t xml:space="preserve">.  </w:t>
      </w:r>
    </w:p>
    <w:p w14:paraId="551A5920" w14:textId="219F8B71" w:rsidR="00C770EB" w:rsidRPr="00F8481E" w:rsidRDefault="00995DE3" w:rsidP="00F8481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These are the same documents you </w:t>
      </w:r>
      <w:r w:rsidR="00C770EB" w:rsidRPr="00F8481E">
        <w:rPr>
          <w:rFonts w:ascii="Times New Roman" w:hAnsi="Times New Roman" w:cs="Times New Roman"/>
          <w:sz w:val="23"/>
          <w:szCs w:val="23"/>
        </w:rPr>
        <w:t>provided</w:t>
      </w:r>
      <w:r w:rsidRPr="00F8481E">
        <w:rPr>
          <w:rFonts w:ascii="Times New Roman" w:hAnsi="Times New Roman" w:cs="Times New Roman"/>
          <w:sz w:val="23"/>
          <w:szCs w:val="23"/>
        </w:rPr>
        <w:t xml:space="preserve"> to the opposing party prior to the day of the </w:t>
      </w:r>
      <w:r w:rsidR="00C770EB" w:rsidRPr="00F8481E">
        <w:rPr>
          <w:rFonts w:ascii="Times New Roman" w:hAnsi="Times New Roman" w:cs="Times New Roman"/>
          <w:sz w:val="23"/>
          <w:szCs w:val="23"/>
        </w:rPr>
        <w:t>trial (3 copies to the court at trial (1 for you to refer to,1 for the opposing party</w:t>
      </w:r>
      <w:r w:rsidR="00F8481E" w:rsidRPr="00F8481E">
        <w:rPr>
          <w:rFonts w:ascii="Times New Roman" w:hAnsi="Times New Roman" w:cs="Times New Roman"/>
          <w:sz w:val="23"/>
          <w:szCs w:val="23"/>
        </w:rPr>
        <w:t>(ies)</w:t>
      </w:r>
      <w:r w:rsidR="00C770EB" w:rsidRPr="00F8481E">
        <w:rPr>
          <w:rFonts w:ascii="Times New Roman" w:hAnsi="Times New Roman" w:cs="Times New Roman"/>
          <w:sz w:val="23"/>
          <w:szCs w:val="23"/>
        </w:rPr>
        <w:t xml:space="preserve"> and 1 for the court). </w:t>
      </w:r>
    </w:p>
    <w:p w14:paraId="1B27A0F4" w14:textId="67E840C9" w:rsidR="00C770EB" w:rsidRPr="00F8481E" w:rsidRDefault="00995DE3" w:rsidP="00F8481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b/>
          <w:bCs/>
          <w:sz w:val="23"/>
          <w:szCs w:val="23"/>
        </w:rPr>
        <w:t>Exception</w:t>
      </w:r>
      <w:r w:rsidR="00C770EB" w:rsidRPr="00F8481E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51BE6">
        <w:rPr>
          <w:rFonts w:ascii="Times New Roman" w:hAnsi="Times New Roman" w:cs="Times New Roman"/>
          <w:sz w:val="23"/>
          <w:szCs w:val="23"/>
        </w:rPr>
        <w:t>I</w:t>
      </w:r>
      <w:r w:rsidRPr="00F8481E">
        <w:rPr>
          <w:rFonts w:ascii="Times New Roman" w:hAnsi="Times New Roman" w:cs="Times New Roman"/>
          <w:sz w:val="23"/>
          <w:szCs w:val="23"/>
        </w:rPr>
        <w:t xml:space="preserve">s </w:t>
      </w:r>
      <w:r w:rsidR="00C770EB" w:rsidRPr="00F8481E">
        <w:rPr>
          <w:rFonts w:ascii="Times New Roman" w:hAnsi="Times New Roman" w:cs="Times New Roman"/>
          <w:sz w:val="23"/>
          <w:szCs w:val="23"/>
        </w:rPr>
        <w:t>for</w:t>
      </w:r>
      <w:r w:rsidRPr="00F8481E">
        <w:rPr>
          <w:rFonts w:ascii="Times New Roman" w:hAnsi="Times New Roman" w:cs="Times New Roman"/>
          <w:sz w:val="23"/>
          <w:szCs w:val="23"/>
        </w:rPr>
        <w:t xml:space="preserve"> </w:t>
      </w:r>
      <w:r w:rsidR="00C770EB" w:rsidRPr="00F8481E">
        <w:rPr>
          <w:rFonts w:ascii="Times New Roman" w:hAnsi="Times New Roman" w:cs="Times New Roman"/>
          <w:sz w:val="23"/>
          <w:szCs w:val="23"/>
        </w:rPr>
        <w:t xml:space="preserve">Temporary Order of Protection </w:t>
      </w:r>
      <w:r w:rsidRPr="00F8481E">
        <w:rPr>
          <w:rFonts w:ascii="Times New Roman" w:hAnsi="Times New Roman" w:cs="Times New Roman"/>
          <w:sz w:val="23"/>
          <w:szCs w:val="23"/>
        </w:rPr>
        <w:t>hearings or Small Claim trials.</w:t>
      </w:r>
      <w:r w:rsidR="00C770EB" w:rsidRPr="00F8481E">
        <w:rPr>
          <w:rFonts w:ascii="Times New Roman" w:hAnsi="Times New Roman" w:cs="Times New Roman"/>
          <w:sz w:val="23"/>
          <w:szCs w:val="23"/>
        </w:rPr>
        <w:t xml:space="preserve"> These are provided at the time of </w:t>
      </w:r>
      <w:r w:rsidR="00F8481E" w:rsidRPr="00F8481E">
        <w:rPr>
          <w:rFonts w:ascii="Times New Roman" w:hAnsi="Times New Roman" w:cs="Times New Roman"/>
          <w:sz w:val="23"/>
          <w:szCs w:val="23"/>
        </w:rPr>
        <w:t>hearing/</w:t>
      </w:r>
      <w:r w:rsidR="00C770EB" w:rsidRPr="00F8481E">
        <w:rPr>
          <w:rFonts w:ascii="Times New Roman" w:hAnsi="Times New Roman" w:cs="Times New Roman"/>
          <w:sz w:val="23"/>
          <w:szCs w:val="23"/>
        </w:rPr>
        <w:t>tr</w:t>
      </w:r>
      <w:r w:rsidR="00F8481E" w:rsidRPr="00F8481E">
        <w:rPr>
          <w:rFonts w:ascii="Times New Roman" w:hAnsi="Times New Roman" w:cs="Times New Roman"/>
          <w:sz w:val="23"/>
          <w:szCs w:val="23"/>
        </w:rPr>
        <w:t>ia</w:t>
      </w:r>
      <w:r w:rsidR="00C770EB" w:rsidRPr="00F8481E">
        <w:rPr>
          <w:rFonts w:ascii="Times New Roman" w:hAnsi="Times New Roman" w:cs="Times New Roman"/>
          <w:sz w:val="23"/>
          <w:szCs w:val="23"/>
        </w:rPr>
        <w:t>l to the court and opposing parties.</w:t>
      </w:r>
      <w:r w:rsidRPr="00F8481E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59F04F4" w14:textId="50A9794C" w:rsidR="00C770EB" w:rsidRPr="00F8481E" w:rsidRDefault="00995DE3" w:rsidP="00F8481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All documents must have “foundation” before being admitted as evidence by the Court.  Foundation means that there </w:t>
      </w:r>
      <w:r w:rsidR="00C770EB" w:rsidRPr="00F8481E">
        <w:rPr>
          <w:rFonts w:ascii="Times New Roman" w:hAnsi="Times New Roman" w:cs="Times New Roman"/>
          <w:sz w:val="23"/>
          <w:szCs w:val="23"/>
        </w:rPr>
        <w:t>must</w:t>
      </w:r>
      <w:r w:rsidRPr="00F8481E">
        <w:rPr>
          <w:rFonts w:ascii="Times New Roman" w:hAnsi="Times New Roman" w:cs="Times New Roman"/>
          <w:sz w:val="23"/>
          <w:szCs w:val="23"/>
        </w:rPr>
        <w:t xml:space="preserve"> be a witness, in court, who can testify as to the authenticity of the document, i.e., the keeper of the business records, author or co-author of a contact, person who actually took the </w:t>
      </w:r>
      <w:r w:rsidR="00C770EB" w:rsidRPr="00F8481E">
        <w:rPr>
          <w:rFonts w:ascii="Times New Roman" w:hAnsi="Times New Roman" w:cs="Times New Roman"/>
          <w:sz w:val="23"/>
          <w:szCs w:val="23"/>
        </w:rPr>
        <w:t>photos</w:t>
      </w:r>
      <w:r w:rsidRPr="00F8481E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4ADA6265" w14:textId="70ADC1B9" w:rsidR="00995DE3" w:rsidRPr="00F8481E" w:rsidRDefault="00C770EB" w:rsidP="00F8481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>Statement</w:t>
      </w:r>
      <w:r w:rsidR="00995DE3" w:rsidRPr="00F8481E">
        <w:rPr>
          <w:rFonts w:ascii="Times New Roman" w:hAnsi="Times New Roman" w:cs="Times New Roman"/>
          <w:sz w:val="23"/>
          <w:szCs w:val="23"/>
        </w:rPr>
        <w:t xml:space="preserve"> and letters, even notarized, are not allowed as e</w:t>
      </w:r>
      <w:r w:rsidRPr="00F8481E">
        <w:rPr>
          <w:rFonts w:ascii="Times New Roman" w:hAnsi="Times New Roman" w:cs="Times New Roman"/>
          <w:sz w:val="23"/>
          <w:szCs w:val="23"/>
        </w:rPr>
        <w:t>videnc</w:t>
      </w:r>
      <w:r w:rsidR="00995DE3" w:rsidRPr="00F8481E">
        <w:rPr>
          <w:rFonts w:ascii="Times New Roman" w:hAnsi="Times New Roman" w:cs="Times New Roman"/>
          <w:sz w:val="23"/>
          <w:szCs w:val="23"/>
        </w:rPr>
        <w:t>e.  Person</w:t>
      </w:r>
      <w:r w:rsidR="00E51BE6">
        <w:rPr>
          <w:rFonts w:ascii="Times New Roman" w:hAnsi="Times New Roman" w:cs="Times New Roman"/>
          <w:sz w:val="23"/>
          <w:szCs w:val="23"/>
        </w:rPr>
        <w:t>al</w:t>
      </w:r>
      <w:r w:rsidR="00995DE3" w:rsidRPr="00F8481E">
        <w:rPr>
          <w:rFonts w:ascii="Times New Roman" w:hAnsi="Times New Roman" w:cs="Times New Roman"/>
          <w:sz w:val="23"/>
          <w:szCs w:val="23"/>
        </w:rPr>
        <w:t xml:space="preserve"> </w:t>
      </w:r>
      <w:r w:rsidRPr="00F8481E">
        <w:rPr>
          <w:rFonts w:ascii="Times New Roman" w:hAnsi="Times New Roman" w:cs="Times New Roman"/>
          <w:sz w:val="23"/>
          <w:szCs w:val="23"/>
        </w:rPr>
        <w:t>sworn</w:t>
      </w:r>
      <w:r w:rsidR="00995DE3" w:rsidRPr="00F8481E">
        <w:rPr>
          <w:rFonts w:ascii="Times New Roman" w:hAnsi="Times New Roman" w:cs="Times New Roman"/>
          <w:sz w:val="23"/>
          <w:szCs w:val="23"/>
        </w:rPr>
        <w:t xml:space="preserve"> testimony is always best evidence.</w:t>
      </w:r>
    </w:p>
    <w:p w14:paraId="14F524B0" w14:textId="77777777" w:rsidR="00F8481E" w:rsidRPr="00F8481E" w:rsidRDefault="00F8481E" w:rsidP="00F8481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3"/>
          <w:szCs w:val="23"/>
        </w:rPr>
      </w:pPr>
    </w:p>
    <w:p w14:paraId="1A234F99" w14:textId="77067E39" w:rsidR="00995DE3" w:rsidRPr="00F8481E" w:rsidRDefault="00C770EB" w:rsidP="00F848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 xml:space="preserve">The </w:t>
      </w:r>
      <w:r w:rsidR="00F8481E">
        <w:rPr>
          <w:rFonts w:ascii="Times New Roman" w:hAnsi="Times New Roman" w:cs="Times New Roman"/>
          <w:sz w:val="23"/>
          <w:szCs w:val="23"/>
        </w:rPr>
        <w:t>Plaintiff/Petitioner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make an initial closing statement, and the </w:t>
      </w:r>
      <w:r w:rsidR="00F8481E">
        <w:rPr>
          <w:rFonts w:ascii="Times New Roman" w:hAnsi="Times New Roman" w:cs="Times New Roman"/>
          <w:sz w:val="23"/>
          <w:szCs w:val="23"/>
        </w:rPr>
        <w:t>Defendant/Respondent</w:t>
      </w:r>
      <w:r w:rsidRPr="00F8481E">
        <w:rPr>
          <w:rFonts w:ascii="Times New Roman" w:hAnsi="Times New Roman" w:cs="Times New Roman"/>
          <w:sz w:val="23"/>
          <w:szCs w:val="23"/>
        </w:rPr>
        <w:t xml:space="preserve"> will follow.  This statement is not testimony, nor is it a rehash of the testimony.  This statement is simply a conclusion of the testimony and evidence already presented.  Since the closing statement is not testimony, it may be waived without any effect on your case.  </w:t>
      </w:r>
      <w:r w:rsidRPr="00F8481E">
        <w:rPr>
          <w:rFonts w:ascii="Times New Roman" w:hAnsi="Times New Roman" w:cs="Times New Roman"/>
          <w:b/>
          <w:bCs/>
          <w:sz w:val="23"/>
          <w:szCs w:val="23"/>
        </w:rPr>
        <w:t>NOTHING IN THE CLOSING STATEMNTS WILL BE CONSIDERED IN THE COURT’S DECISION</w:t>
      </w:r>
      <w:r w:rsidRPr="00F8481E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151BF1EB" w14:textId="77777777" w:rsidR="00F8481E" w:rsidRPr="00F8481E" w:rsidRDefault="00F8481E" w:rsidP="00F8481E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638F0AF0" w14:textId="55A5E952" w:rsidR="00C770EB" w:rsidRPr="00F8481E" w:rsidRDefault="00C770EB" w:rsidP="00F848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sz w:val="23"/>
          <w:szCs w:val="23"/>
        </w:rPr>
        <w:t>The Judge will make a decision based on the preponderance of the evidence presented at trial</w:t>
      </w:r>
    </w:p>
    <w:p w14:paraId="3B3DAD4F" w14:textId="761D1B1C" w:rsidR="00C770EB" w:rsidRPr="00F8481E" w:rsidRDefault="00C770EB" w:rsidP="00F8481E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F8481E">
        <w:rPr>
          <w:rFonts w:ascii="Times New Roman" w:hAnsi="Times New Roman" w:cs="Times New Roman"/>
          <w:b/>
          <w:bCs/>
          <w:sz w:val="23"/>
          <w:szCs w:val="23"/>
        </w:rPr>
        <w:t>FAILURE TO APPEAR FOR TRIAL</w:t>
      </w:r>
      <w:r w:rsidRPr="00F8481E">
        <w:rPr>
          <w:rFonts w:ascii="Times New Roman" w:hAnsi="Times New Roman" w:cs="Times New Roman"/>
          <w:sz w:val="23"/>
          <w:szCs w:val="23"/>
        </w:rPr>
        <w:t xml:space="preserve"> may result in dismissal of your claim or a judgment filed against you.</w:t>
      </w:r>
    </w:p>
    <w:sectPr w:rsidR="00C770EB" w:rsidRPr="00F8481E" w:rsidSect="00F8481E">
      <w:pgSz w:w="12240" w:h="15840"/>
      <w:pgMar w:top="360" w:right="14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60ED"/>
    <w:multiLevelType w:val="hybridMultilevel"/>
    <w:tmpl w:val="3BB0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3A2"/>
    <w:multiLevelType w:val="hybridMultilevel"/>
    <w:tmpl w:val="8DE4D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11206">
    <w:abstractNumId w:val="0"/>
  </w:num>
  <w:num w:numId="2" w16cid:durableId="207867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E3"/>
    <w:rsid w:val="002F7F6E"/>
    <w:rsid w:val="003022F4"/>
    <w:rsid w:val="0034502D"/>
    <w:rsid w:val="00645624"/>
    <w:rsid w:val="00935C3D"/>
    <w:rsid w:val="00995DE3"/>
    <w:rsid w:val="009D23A1"/>
    <w:rsid w:val="00C770EB"/>
    <w:rsid w:val="00E51BE6"/>
    <w:rsid w:val="00F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6F86"/>
  <w15:chartTrackingRefBased/>
  <w15:docId w15:val="{040BA717-33B5-4C5B-B10A-C00B4D0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Utley, Valerie</dc:creator>
  <cp:keywords/>
  <dc:description/>
  <cp:lastModifiedBy>Utley, Valerie</cp:lastModifiedBy>
  <cp:revision>3</cp:revision>
  <cp:lastPrinted>2024-12-13T19:47:00Z</cp:lastPrinted>
  <dcterms:created xsi:type="dcterms:W3CDTF">2024-12-12T23:17:00Z</dcterms:created>
  <dcterms:modified xsi:type="dcterms:W3CDTF">2024-12-13T19:49:00Z</dcterms:modified>
</cp:coreProperties>
</file>